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050E5C" w:rsidRPr="00050E5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r w:rsidR="00A8694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-ի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3327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DC5AE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ՁԲ-</w:t>
      </w:r>
      <w:r w:rsidR="00C85A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22/148</w:t>
      </w: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>Երևան</w:t>
      </w:r>
      <w:r w:rsidR="0023252D">
        <w:rPr>
          <w:rFonts w:ascii="GHEA Grapalat" w:hAnsi="GHEA Grapalat" w:cs="Times New Roman"/>
          <w:sz w:val="20"/>
          <w:szCs w:val="24"/>
          <w:lang w:val="hy-AM"/>
        </w:rPr>
        <w:t xml:space="preserve">ի քաղաքապետարանի կարիքների համար </w:t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3252D" w:rsidRPr="0023252D">
        <w:rPr>
          <w:rFonts w:ascii="GHEA Grapalat" w:hAnsi="GHEA Grapalat" w:cs="Times New Roman"/>
          <w:sz w:val="20"/>
          <w:szCs w:val="24"/>
          <w:lang w:val="hy-AM"/>
        </w:rPr>
        <w:t xml:space="preserve">աղբի տեսակավորման թափոնամանների 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332752" w:rsidRPr="0023252D">
        <w:rPr>
          <w:rFonts w:ascii="GHEA Grapalat" w:hAnsi="GHEA Grapalat" w:cs="Times New Roman"/>
          <w:sz w:val="20"/>
          <w:szCs w:val="24"/>
          <w:lang w:val="hy-AM"/>
        </w:rPr>
        <w:t>ԵՔ-ԷԱՃԱՊՁԲ-</w:t>
      </w:r>
      <w:r w:rsidR="00C85AB1">
        <w:rPr>
          <w:rFonts w:ascii="GHEA Grapalat" w:hAnsi="GHEA Grapalat" w:cs="Times New Roman"/>
          <w:sz w:val="20"/>
          <w:szCs w:val="24"/>
          <w:lang w:val="hy-AM"/>
        </w:rPr>
        <w:t>22/148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պարզաբանումները`</w:t>
      </w:r>
    </w:p>
    <w:p w:rsidR="001337CA" w:rsidRDefault="00A86945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>
        <w:rPr>
          <w:rFonts w:ascii="GHEA Grapalat" w:hAnsi="GHEA Grapalat" w:cs="Times New Roman"/>
          <w:b/>
          <w:sz w:val="20"/>
          <w:szCs w:val="24"/>
          <w:lang w:val="hy-AM"/>
        </w:rPr>
        <w:t xml:space="preserve">1. </w:t>
      </w:r>
      <w:r w:rsidR="00A13798"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A86945" w:rsidRPr="00A86945" w:rsidRDefault="00A86945" w:rsidP="00A8694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>
        <w:rPr>
          <w:rFonts w:ascii="Sylfaen" w:hAnsi="Sylfaen" w:cs="Courier New"/>
          <w:color w:val="2C363A"/>
          <w:sz w:val="20"/>
          <w:szCs w:val="20"/>
          <w:shd w:val="clear" w:color="auto" w:fill="FFFFFF"/>
          <w:lang w:val="hy-AM"/>
        </w:rPr>
        <w:t xml:space="preserve">1.. </w:t>
      </w:r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Հարգելի գործընկեր Պարզաբանումը վերաբերվում է մրցույթի հրավերին, մասնավորապես մրցույթի հրավերի պայմանագրի նախագծի 3-րդ կետում նշված է որ Պայմանագրի գինը ներառում է պայմանագրի կատարումն ապահովելու նպատակով Վաճառողի կողմից կատարվելիք բոլոր վճարները (ծախսերը), այդ թվում` հարկերը, տուրքերը, փոխադրման, ապահովագրման ծախսերը, պարգևավճարները և ակնկալվող շահույթը։ Ապրանքի մատակարարման գինը կայուն է և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Վաճառողն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իրավունք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չունի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պահանջել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ավելացնելու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իսկ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Գնորդը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նվազեցնելու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այդ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գինը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Մրցույթին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կարող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մասնակցել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ռեզիդենտ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չհանդիսացող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սուբյեկտներ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այդ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թվում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ԵԱՏՄ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երկրներից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՝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Ռուսաստանի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Դաշնությունից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Ղազախստանից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և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Մրցույթի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հրավերում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ներառված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ոչ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միայն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գնումների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օրենսդրությանը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վերաբերվող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դրույթներ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քաղաքացիական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հարկային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օրենսդրությանը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վերաբերվող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իրավական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նորմեր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Առկա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նորմեր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որոնք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արտացոլված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էլեկտրոնային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աճուրդի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մրցույթի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հրավերում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սակայն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կարգավորվում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ինչպես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գնումների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օրենսդրությմաբ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այնպես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էլ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ֆինանսների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նախարարության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կողմից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տրված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մեթոդական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պարզաբանումներով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Օրենսդրությամբ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սահմանված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կարգով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կարող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եք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նշված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հարցի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վերաբերյալ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ներգրավել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համապատասխան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մասնագետներ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փորձագետներ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Վերոգրյալից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ելնելով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կրկին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անգամ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ուղարկում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հարցադրումներս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ռեզիդենտ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չհանդիսացող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անձի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հետ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պայմանագիր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կնքելու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դեպքում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պայմանագրի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կատարման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փուլում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առաջացող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`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պետական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բյուջե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վճարման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ենթակա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հարկերը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(ԱԱՀ,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ակցիզային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բնապահպանական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և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)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հաշվանցվում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և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պետական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բյուջե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վճարվում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ռեզիդենտ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չհանդիսացող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անձին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վճարման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ենթակա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գումարից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Մրցույթի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հրավերում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ինչպես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նաև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պայմանագրի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նախագծում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ներառված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չէ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մասնավորապես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Պայմանագրի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կատարման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փուլում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առաջացող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՝ ՀՀ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պետական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բյուջե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վճարման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ենթակա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հարկերը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(ԱԱՀ,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ակցիզային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,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բնապահպանական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հարկ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և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այլն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)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հաշվանցվում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և ՀՀ պետական բյուջե են վճարվում Վաճառողին վճարման ենթակա գումարից։ Այսինքն ՀՀ ռեզիդենտ չհանդիսացող անձի հետ պայմանագիր կնքելու դեպքում պայմանագրի կատարման փուլում առաջացող բոլոր հարկերը վճարում է Գնորդը վաճառողին վճարվելիք գումարից։ Վերոգրյալից ելնելով խնդրում եմ պարզաբանել և հստակեցնել մրցույթի հրավերում տվյալ դրույթի վերաբերյալ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տեղեկատվությունը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։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Կանխավ</w:t>
      </w:r>
      <w:proofErr w:type="spellEnd"/>
      <w:r w:rsidRPr="00A86945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A86945">
        <w:rPr>
          <w:rFonts w:ascii="GHEA Grapalat" w:hAnsi="GHEA Grapalat" w:cs="Times New Roman"/>
          <w:sz w:val="20"/>
          <w:szCs w:val="24"/>
          <w:lang w:val="hy-AM"/>
        </w:rPr>
        <w:t>շնորհակալություն</w:t>
      </w:r>
      <w:proofErr w:type="spellEnd"/>
    </w:p>
    <w:p w:rsidR="001337CA" w:rsidRPr="005A201E" w:rsidRDefault="009200E1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>
        <w:rPr>
          <w:rFonts w:ascii="GHEA Grapalat" w:hAnsi="GHEA Grapalat" w:cs="Times New Roman"/>
          <w:b/>
          <w:sz w:val="20"/>
          <w:szCs w:val="24"/>
          <w:lang w:val="hy-AM"/>
        </w:rPr>
        <w:t xml:space="preserve">1. </w:t>
      </w:r>
      <w:r w:rsidR="00A13798"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32025C" w:rsidRPr="0032025C" w:rsidRDefault="0032025C" w:rsidP="00D8442A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32025C">
        <w:rPr>
          <w:rFonts w:ascii="GHEA Grapalat" w:hAnsi="GHEA Grapalat" w:cs="Times New Roman"/>
          <w:sz w:val="20"/>
          <w:szCs w:val="24"/>
          <w:lang w:val="hy-AM"/>
        </w:rPr>
        <w:t>Բարձրացված հարցը կարգավորվում է ՀՀ Հարկային օրենսգրքով սահմանված կարգով: Օրինակ՝ ԱԱՀ-ի գծով՝ ՀՀ հարկային օրենսգրքի 70 հոդվածի 2-րդ մաս:</w:t>
      </w:r>
    </w:p>
    <w:p w:rsidR="00A86945" w:rsidRDefault="00A86945" w:rsidP="00A8694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>
        <w:rPr>
          <w:rFonts w:ascii="GHEA Grapalat" w:hAnsi="GHEA Grapalat" w:cs="Times New Roman"/>
          <w:b/>
          <w:sz w:val="20"/>
          <w:szCs w:val="24"/>
          <w:lang w:val="hy-AM"/>
        </w:rPr>
        <w:t xml:space="preserve">2. </w:t>
      </w: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A86945" w:rsidRPr="009200E1" w:rsidRDefault="00A86945" w:rsidP="00D8442A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9200E1">
        <w:rPr>
          <w:rFonts w:ascii="GHEA Grapalat" w:hAnsi="GHEA Grapalat" w:cs="Times New Roman"/>
          <w:sz w:val="20"/>
          <w:szCs w:val="24"/>
          <w:lang w:val="hy-AM"/>
        </w:rPr>
        <w:t>Հարգելի գործընկեր, Գնման առարկայի տեխնիկական բնութագրերում առկա են մի շարք վրիպակներ, որոք հակասում են գնումների մասին օրենսդրությանը, մասնավորապես՝ 1</w:t>
      </w:r>
      <w:r w:rsidRPr="009200E1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t xml:space="preserve"> EN 840-2։2020 ստանդարտի համաձայն արտադրված 1100Լ աղբարկղի քաշը չի կարող լինել 440կգ, դա վերաբերում է բեռնատարողությանը, ներառյալ աղբարկղի քաշը։ 2</w:t>
      </w:r>
      <w:r w:rsidRPr="009200E1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t xml:space="preserve"> Մեր կողմից առաջարկվող աղբարկղներն արտադրված են EN 840-2։2020 ստանդարտի համաձայն և ունեն համապատասխան սերտիֆիկատներ։ Սակայն EN 840-2։2020 ստանդարտի համաձայն նախատեսված չէ, որ 1100Լ աղբարկղը կարող է ունենալ «դիմային կափարիչ՝ 500մմ x 500մմ կամ 600մմ x 600մմ չափսերով», և նմանատիպ կափարիչի առակայության դեպքում աղբարկղը կարող է ունենալ 440կգ բեռատարողունակություն, ինչպես նաև նախատեսված լինել «Հետևից 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lastRenderedPageBreak/>
        <w:t>բեռնաթափմամբ աղբատարների համար»։ Բանն այն է, որ նմանատիպ դիմային կափարիչի առկայության պարագայում, աղբարկղի կոնստրուկցիան ձևափոխվում և թուլանում է, հետևաբար չի կարող ապահովել թե 440կգ բեռնատարողություն և թե բեռնաթափվել հետևից բեռնաթափմամբ աղբատարների մանիպուլյատորների օգնությամբ։ Այսպիսով 500մմ x 500մմ կամ 600մմ x 600մմ չափսերով «դիմային կափարիչ»-ը դա օպցիա է, որը փոփոխում է EN 840-2։2020 ստանդարտի համաձայն արտադրված աղբարկղների տեխնիկական հատկանիշները և շահագործման եղանակը։ Իսկ եթե հնարավոր չէ նմանատիպ աղբարկղները բեռնաթափել հետևից բեռնաթափմամբ աղբատարների մանիպուլյատորների օգնությամբ, ապա ինչ նպատակով աղբարկղները պետք է ունենան աղբատարերի մանիպուլյատորների համար նախատեսված կողային բռնիչներ, որոնք ըստ ըության անիմաստ են և չեն օգտագործվում։ Այսպիսով որևէ կերպ հնարավոր չէ ապահովել հրավերի տեխնիկական բնութագրում շարադրված պահանջը՝ համապատասխանությունը EN 840-2։2020 ստանդարտին, առավել ևս ներկայացնել որևէ փորձագիտական եզրակացություն ըստ էության։ 3</w:t>
      </w:r>
      <w:r w:rsidRPr="009200E1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t xml:space="preserve"> Կարող են արդյոք դիմային կափարիչի չափերը լինել 645 x 540 մմ։ 4</w:t>
      </w:r>
      <w:r w:rsidRPr="009200E1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t xml:space="preserve"> Բարձր խտության ցածր ճնշման առաջնային հումքի պոլիէթիլենը՝ HDPE, որից պահանջվում է, որ պետք է արտադրված լինի աղբարկղը, ինչը նաև EN 840-2։2020 ստանդարտի պահանջ է, սկսում է հալվել 115°C ջերմաստիճանում և ունի 350°C ինքնաբռնկման ջերմաստիճան։ Արդյո՞ք այն բավարար չէ։ Ինչ է՞ ընդհանրապես նշանակում հրդեհակայուն/չբոցավառվող պահանջը։ EN 840-2։2020 ստանդարտի համաձայն հրդեհակայուն/չբոցավառվող պահանջ նախատեսված չէ։ Կանխավ շնորահակալություն։</w:t>
      </w:r>
    </w:p>
    <w:p w:rsidR="009200E1" w:rsidRPr="009200E1" w:rsidRDefault="009200E1" w:rsidP="009200E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9200E1">
        <w:rPr>
          <w:rFonts w:ascii="GHEA Grapalat" w:hAnsi="GHEA Grapalat" w:cs="Times New Roman"/>
          <w:b/>
          <w:sz w:val="20"/>
          <w:szCs w:val="24"/>
          <w:lang w:val="hy-AM"/>
        </w:rPr>
        <w:t xml:space="preserve">2. Պարզաբանում  </w:t>
      </w:r>
    </w:p>
    <w:p w:rsidR="009200E1" w:rsidRDefault="009200E1" w:rsidP="009200E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9200E1">
        <w:rPr>
          <w:rFonts w:ascii="GHEA Grapalat" w:hAnsi="GHEA Grapalat" w:cs="Times New Roman"/>
          <w:sz w:val="20"/>
          <w:szCs w:val="24"/>
          <w:lang w:val="hy-AM"/>
        </w:rPr>
        <w:t>1.Աղբի տեսակավորման թափոնամանների ձեռքբերման տեխնիկական բնութագրում տեղի է ունեցել տեխնիկական վրիպակ, թափոնամանի քաշը՝ &gt;440կգ փոխարեն պետք է լինի քաշը՝ &gt;45կգ (ռուսերեն տեխնիկական բնութագրում ճիշտ է գրված)։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br/>
        <w:t>2. Սահմանված EN 840-2։2020 ստանդարտով չի արգելվում դիմային կափարիչի օպցիայի նախատեսում: Ավելին, ստանդարտը պետք է դիտարկվի EN 840 ստանդարտների շարքի հետ համակցությամբ: Կողային բռնիչներն օգտագործվում են աղբատար մեքենաների մեջ թափոնները բեռնաթափելու նպատակով: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br/>
        <w:t>3. Դիմային կափարիչի չափերը կարևոր են ընդհանուր թափոնամանի ֆունկցիոնալությունն ապահովելու տեսանկյունից: Դրանց ոչ մեծ շեղումը թույլատրելի է միայն այն դեպքում, երբ թափոնամանի ֆունկցիոնալությունը չի խախտվում: Հետևապես, դիմային կափարիչի սահմանված չափերի շեղումը կդիտարկվի համարժեք, եթե այն ընկած է նվազագույն 500*500 մմ և առավելագույն 600*600 մմ չափերի սահմաններում, որոնցից թույլատրելի է ±10% շեղում (հաշվի առնելով թափոնամանի արտաքին չափերը)։ Տվյալ դեպքում ներկայացված 645*540մմ չափը կարող է դիտարկվել համարժեք, քանի որ 645մմ&lt; 660մմ, իսկ 540մմ չափն ընկած է 500-600 մմ սահմաններում:</w:t>
      </w:r>
      <w:r w:rsidRPr="009200E1">
        <w:rPr>
          <w:rFonts w:ascii="GHEA Grapalat" w:hAnsi="GHEA Grapalat" w:cs="Times New Roman"/>
          <w:sz w:val="20"/>
          <w:szCs w:val="24"/>
          <w:lang w:val="hy-AM"/>
        </w:rPr>
        <w:br/>
        <w:t>4. Բարձր խտության ցածր ճնշման առաջնային հումքի պոլիէթիլենը՝ HDPE նյութից պատրաստված լինելը բավարար է հրդեհակայուն/չբոցավառվող համարվելու համար, պայմանով, որ թափոնամանի ներկման համար նյութը բոցավառվող չէ:</w:t>
      </w:r>
    </w:p>
    <w:p w:rsidR="00A822F1" w:rsidRDefault="00A822F1" w:rsidP="00A822F1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>
        <w:rPr>
          <w:rFonts w:ascii="GHEA Grapalat" w:hAnsi="GHEA Grapalat" w:cs="Times New Roman"/>
          <w:b/>
          <w:sz w:val="20"/>
          <w:szCs w:val="24"/>
          <w:lang w:val="hy-AM"/>
        </w:rPr>
        <w:t>3</w:t>
      </w:r>
      <w:r>
        <w:rPr>
          <w:rFonts w:ascii="GHEA Grapalat" w:hAnsi="GHEA Grapalat" w:cs="Times New Roman"/>
          <w:b/>
          <w:sz w:val="20"/>
          <w:szCs w:val="24"/>
          <w:lang w:val="hy-AM"/>
        </w:rPr>
        <w:t xml:space="preserve">. </w:t>
      </w: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A822F1" w:rsidRDefault="00A822F1" w:rsidP="009200E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A822F1">
        <w:rPr>
          <w:rFonts w:ascii="GHEA Grapalat" w:hAnsi="GHEA Grapalat" w:cs="Times New Roman"/>
          <w:sz w:val="20"/>
          <w:szCs w:val="24"/>
          <w:lang w:val="hy-AM"/>
        </w:rPr>
        <w:t>Հարգելի Գործընկերներ, Հաշվի առնելով մատակարարման սեղմ ժամկետները անհնար է դիմային կափարիչի համար պատրաստել 500*500 կամ 600*600 չափերով կաղապար, խնդրում ենք տրամադրել պարզաբանում, արդյո՞ք կդիտարկվի համարժեք մասնակցությունը՝ 645*540մմ չափերով դիմային կափարիչով։ Տեղեկացնում եմ նաև, որ 1-ին և 2-րդ չափաբաժիններում տեղի է ունեցել աղբամանների քաշի մասով տեխնիկական վրիպակ և նշվել է 440 կգ։ Խնդրում եմ կատարել համապատասխան շտկումը։ Կանխավ շնորկալություն</w:t>
      </w:r>
    </w:p>
    <w:p w:rsidR="00A822F1" w:rsidRPr="009200E1" w:rsidRDefault="00A822F1" w:rsidP="00A822F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>
        <w:rPr>
          <w:rFonts w:ascii="GHEA Grapalat" w:hAnsi="GHEA Grapalat" w:cs="Times New Roman"/>
          <w:b/>
          <w:sz w:val="20"/>
          <w:szCs w:val="24"/>
          <w:lang w:val="hy-AM"/>
        </w:rPr>
        <w:t>3</w:t>
      </w:r>
      <w:r w:rsidRPr="009200E1">
        <w:rPr>
          <w:rFonts w:ascii="GHEA Grapalat" w:hAnsi="GHEA Grapalat" w:cs="Times New Roman"/>
          <w:b/>
          <w:sz w:val="20"/>
          <w:szCs w:val="24"/>
          <w:lang w:val="hy-AM"/>
        </w:rPr>
        <w:t xml:space="preserve">. Պարզաբանում  </w:t>
      </w:r>
    </w:p>
    <w:p w:rsidR="00A822F1" w:rsidRPr="00A822F1" w:rsidRDefault="00A822F1" w:rsidP="00A822F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A822F1">
        <w:rPr>
          <w:rFonts w:ascii="GHEA Grapalat" w:hAnsi="GHEA Grapalat" w:cs="Times New Roman"/>
          <w:sz w:val="20"/>
          <w:szCs w:val="24"/>
          <w:lang w:val="hy-AM"/>
        </w:rPr>
        <w:t>Աղբի տեսակավորման թափոնամանների ձեռքբերման տեխնիկական բնութագրում տեղի է ունեցել տեխնիկական վրիպակ, թափոնամանի քաշը՝ &gt;440կգ փոխարեն պետք է լինի քաշը՝ &gt;45կգ (ռուսերեն տեխնիկական բնութագրում ճիշտ է գրված)։</w:t>
      </w:r>
    </w:p>
    <w:p w:rsidR="00A822F1" w:rsidRPr="00A822F1" w:rsidRDefault="00A822F1" w:rsidP="00A822F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A822F1">
        <w:rPr>
          <w:rFonts w:ascii="GHEA Grapalat" w:hAnsi="GHEA Grapalat" w:cs="Times New Roman"/>
          <w:sz w:val="20"/>
          <w:szCs w:val="24"/>
          <w:lang w:val="hy-AM"/>
        </w:rPr>
        <w:lastRenderedPageBreak/>
        <w:t>Դիմային կափարիչի չափերը կարևոր են ընդհանուր թափոնամանի ֆունկցիոնալությունն ապահովելու տեսանկյունից: Դրանց ոչ մեծ շեղումը թույլատրելի է միայն այն դեպքում, երբ թափոնամանի ֆունկցիոնալությունը չի խախտվում: Հետևապես, դիմային կափարիչի սահմանված չափերի շեղումը կդիտարկվի համարժեք, եթե այն ընկած է նվազագույն 500*500 մմ և առավելագույն 600*600 մմ չափերի սահմաններում, որոնցից թույլատրելի է ±10% շեղում (հաշվի առնելով թափոնամանի արտաքին չափերը)։ Տվյալ դեպքում ներկայացված 645*540մմ չափը կարող է դիտարկվել համարժեք, քանի որ 645մմ&lt; 660մմ, իսկ 540մմ չափն ընկած է 500-600 մմ սահմաններում:</w:t>
      </w:r>
    </w:p>
    <w:p w:rsidR="00A13798" w:rsidRPr="00332752" w:rsidRDefault="00A13798" w:rsidP="00332752">
      <w:pPr>
        <w:pStyle w:val="Heading3"/>
        <w:ind w:firstLine="0"/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</w:pPr>
      <w:bookmarkStart w:id="0" w:name="_GoBack"/>
      <w:bookmarkEnd w:id="0"/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ԵՔ-ԷԱՃԱՊՁԲ-</w:t>
      </w:r>
      <w:r w:rsidR="00C85AB1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22/148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ծածկագրով գնահատող հանձնաժողովի քարտուղար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Ի</w:t>
      </w:r>
      <w:r w:rsidR="002C1CB0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316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irina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.eghiazaryan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2A3E4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01" w:rsidRDefault="00231C01" w:rsidP="001805F6">
      <w:pPr>
        <w:spacing w:after="0" w:line="240" w:lineRule="auto"/>
      </w:pPr>
      <w:r>
        <w:separator/>
      </w:r>
    </w:p>
  </w:endnote>
  <w:endnote w:type="continuationSeparator" w:id="0">
    <w:p w:rsidR="00231C01" w:rsidRDefault="00231C0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49" w:rsidRDefault="002A3E49" w:rsidP="002A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E49" w:rsidRDefault="002A3E49" w:rsidP="002A3E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49" w:rsidRDefault="002A3E49" w:rsidP="002A3E49">
    <w:pPr>
      <w:pStyle w:val="Footer"/>
      <w:framePr w:wrap="around" w:vAnchor="text" w:hAnchor="margin" w:xAlign="right" w:y="1"/>
      <w:rPr>
        <w:rStyle w:val="PageNumber"/>
      </w:rPr>
    </w:pPr>
  </w:p>
  <w:p w:rsidR="002A3E49" w:rsidRDefault="002A3E49" w:rsidP="002A3E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01" w:rsidRDefault="00231C01" w:rsidP="001805F6">
      <w:pPr>
        <w:spacing w:after="0" w:line="240" w:lineRule="auto"/>
      </w:pPr>
      <w:r>
        <w:separator/>
      </w:r>
    </w:p>
  </w:footnote>
  <w:footnote w:type="continuationSeparator" w:id="0">
    <w:p w:rsidR="00231C01" w:rsidRDefault="00231C0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6620F"/>
    <w:multiLevelType w:val="hybridMultilevel"/>
    <w:tmpl w:val="94504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82657"/>
    <w:multiLevelType w:val="hybridMultilevel"/>
    <w:tmpl w:val="11CE7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5074A"/>
    <w:multiLevelType w:val="hybridMultilevel"/>
    <w:tmpl w:val="02CCB73A"/>
    <w:lvl w:ilvl="0" w:tplc="F2D68454">
      <w:start w:val="1"/>
      <w:numFmt w:val="decimal"/>
      <w:lvlText w:val="%1."/>
      <w:lvlJc w:val="left"/>
      <w:pPr>
        <w:ind w:left="720" w:hanging="360"/>
      </w:pPr>
      <w:rPr>
        <w:rFonts w:ascii="Sylfaen" w:hAnsi="Sylfaen" w:cs="Courier New" w:hint="default"/>
        <w:color w:val="2C363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50E5C"/>
    <w:rsid w:val="0006798B"/>
    <w:rsid w:val="00130930"/>
    <w:rsid w:val="001337CA"/>
    <w:rsid w:val="00172D24"/>
    <w:rsid w:val="001805F6"/>
    <w:rsid w:val="001B396B"/>
    <w:rsid w:val="001E71ED"/>
    <w:rsid w:val="001F6E5D"/>
    <w:rsid w:val="00231C01"/>
    <w:rsid w:val="0023252D"/>
    <w:rsid w:val="00233D97"/>
    <w:rsid w:val="00260FED"/>
    <w:rsid w:val="002A3E49"/>
    <w:rsid w:val="002C1CB0"/>
    <w:rsid w:val="0032025C"/>
    <w:rsid w:val="00325451"/>
    <w:rsid w:val="00332752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21A9C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200E1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2F1"/>
    <w:rsid w:val="00A82A81"/>
    <w:rsid w:val="00A832EC"/>
    <w:rsid w:val="00A86945"/>
    <w:rsid w:val="00AC37A6"/>
    <w:rsid w:val="00B932E1"/>
    <w:rsid w:val="00BD2371"/>
    <w:rsid w:val="00BE3A36"/>
    <w:rsid w:val="00BF14F6"/>
    <w:rsid w:val="00C118E7"/>
    <w:rsid w:val="00C47418"/>
    <w:rsid w:val="00C71E62"/>
    <w:rsid w:val="00C848C9"/>
    <w:rsid w:val="00C85AB1"/>
    <w:rsid w:val="00CD469C"/>
    <w:rsid w:val="00CE7E5D"/>
    <w:rsid w:val="00D8442A"/>
    <w:rsid w:val="00DC5AE6"/>
    <w:rsid w:val="00DC7DB1"/>
    <w:rsid w:val="00DF45F8"/>
    <w:rsid w:val="00E71479"/>
    <w:rsid w:val="00EE5CF9"/>
    <w:rsid w:val="00F405DF"/>
    <w:rsid w:val="00F947C0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plaintext">
    <w:name w:val="v1msoplaintext"/>
    <w:basedOn w:val="Normal"/>
    <w:rsid w:val="00A8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 Eghiazaryan</cp:lastModifiedBy>
  <cp:revision>51</cp:revision>
  <cp:lastPrinted>2020-02-26T04:59:00Z</cp:lastPrinted>
  <dcterms:created xsi:type="dcterms:W3CDTF">2018-11-20T13:06:00Z</dcterms:created>
  <dcterms:modified xsi:type="dcterms:W3CDTF">2022-06-07T10:42:00Z</dcterms:modified>
</cp:coreProperties>
</file>